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47648" w14:textId="77777777" w:rsidR="00AE7D83" w:rsidRDefault="00AE7D83" w:rsidP="00AE7D83">
      <w:pPr>
        <w:spacing w:line="360" w:lineRule="auto"/>
        <w:rPr>
          <w:rFonts w:asciiTheme="majorBidi" w:hAnsiTheme="majorBidi" w:cstheme="majorBidi"/>
          <w:sz w:val="24"/>
          <w:szCs w:val="24"/>
          <w:lang w:val="en"/>
        </w:rPr>
      </w:pPr>
      <w:r w:rsidRPr="000E3FE0">
        <w:rPr>
          <w:rFonts w:asciiTheme="majorBidi" w:hAnsiTheme="majorBidi" w:cstheme="majorBidi"/>
          <w:sz w:val="24"/>
          <w:szCs w:val="24"/>
          <w:lang w:val="en-US"/>
        </w:rPr>
        <w:t xml:space="preserve">Table </w:t>
      </w:r>
      <w:r>
        <w:rPr>
          <w:rFonts w:asciiTheme="majorBidi" w:hAnsiTheme="majorBidi" w:cstheme="majorBidi"/>
          <w:sz w:val="24"/>
          <w:szCs w:val="24"/>
          <w:lang w:val="en-US"/>
        </w:rPr>
        <w:t>1</w:t>
      </w:r>
      <w:r w:rsidRPr="000E3FE0">
        <w:rPr>
          <w:rFonts w:asciiTheme="majorBidi" w:hAnsiTheme="majorBidi" w:cstheme="majorBidi"/>
          <w:sz w:val="24"/>
          <w:szCs w:val="24"/>
          <w:lang w:val="en-US"/>
        </w:rPr>
        <w:t>:  Comparison between group 0 (low risk) and groups 2-3 (high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very high risk)</w:t>
      </w:r>
    </w:p>
    <w:tbl>
      <w:tblPr>
        <w:tblStyle w:val="ListTable6Colorful-Accent3"/>
        <w:tblW w:w="0" w:type="auto"/>
        <w:tblLook w:val="04A0" w:firstRow="1" w:lastRow="0" w:firstColumn="1" w:lastColumn="0" w:noHBand="0" w:noVBand="1"/>
      </w:tblPr>
      <w:tblGrid>
        <w:gridCol w:w="1985"/>
        <w:gridCol w:w="2830"/>
        <w:gridCol w:w="2982"/>
        <w:gridCol w:w="989"/>
      </w:tblGrid>
      <w:tr w:rsidR="00AE7D83" w:rsidRPr="008A27B7" w14:paraId="1FC1418C" w14:textId="77777777" w:rsidTr="00A23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91A8D4F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rPr>
                <w:rFonts w:asciiTheme="majorBidi" w:hAnsiTheme="majorBidi" w:cstheme="majorBidi"/>
                <w:b w:val="0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Variables</w:t>
            </w:r>
            <w:r w:rsidRPr="00B27837">
              <w:rPr>
                <w:rFonts w:asciiTheme="majorBidi" w:hAnsiTheme="majorBidi" w:cstheme="majorBidi"/>
                <w:color w:val="auto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830" w:type="dxa"/>
            <w:hideMark/>
          </w:tcPr>
          <w:p w14:paraId="4AABF1C8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color w:val="auto"/>
                <w:sz w:val="24"/>
                <w:szCs w:val="24"/>
              </w:rPr>
            </w:pP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Grade 0</w:t>
            </w:r>
          </w:p>
          <w:p w14:paraId="41675694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color w:val="auto"/>
                <w:sz w:val="24"/>
                <w:szCs w:val="24"/>
              </w:rPr>
            </w:pP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160 cases</w:t>
            </w:r>
          </w:p>
        </w:tc>
        <w:tc>
          <w:tcPr>
            <w:tcW w:w="2982" w:type="dxa"/>
            <w:hideMark/>
          </w:tcPr>
          <w:p w14:paraId="34714C33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Grade 2 and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3</w:t>
            </w:r>
          </w:p>
          <w:p w14:paraId="79851199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color w:val="auto"/>
                <w:sz w:val="24"/>
                <w:szCs w:val="24"/>
              </w:rPr>
            </w:pP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47 cases</w:t>
            </w:r>
          </w:p>
        </w:tc>
        <w:tc>
          <w:tcPr>
            <w:tcW w:w="989" w:type="dxa"/>
            <w:hideMark/>
          </w:tcPr>
          <w:p w14:paraId="010108F5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color w:val="auto"/>
                <w:sz w:val="24"/>
                <w:szCs w:val="24"/>
              </w:rPr>
            </w:pP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</w:t>
            </w:r>
          </w:p>
        </w:tc>
      </w:tr>
      <w:tr w:rsidR="00AE7D83" w:rsidRPr="008A27B7" w14:paraId="0D9FE018" w14:textId="77777777" w:rsidTr="00A23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hideMark/>
          </w:tcPr>
          <w:p w14:paraId="53FC6795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Age (</w:t>
            </w:r>
            <w:proofErr w:type="spellStart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years</w:t>
            </w:r>
            <w:proofErr w:type="spellEnd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2830" w:type="dxa"/>
            <w:shd w:val="clear" w:color="auto" w:fill="auto"/>
            <w:hideMark/>
          </w:tcPr>
          <w:p w14:paraId="151EAEAA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53.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50 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  <w:u w:val="single"/>
              </w:rPr>
              <w:t>+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14.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36</w:t>
            </w:r>
          </w:p>
        </w:tc>
        <w:tc>
          <w:tcPr>
            <w:tcW w:w="2982" w:type="dxa"/>
            <w:shd w:val="clear" w:color="auto" w:fill="auto"/>
            <w:hideMark/>
          </w:tcPr>
          <w:p w14:paraId="551F5E5D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lang w:eastAsia="fr-FR"/>
              </w:rPr>
              <w:t>58.</w:t>
            </w:r>
            <w:r w:rsidRPr="008A27B7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lang w:eastAsia="fr-FR"/>
              </w:rPr>
              <w:t xml:space="preserve">04 </w:t>
            </w:r>
            <w:r w:rsidRPr="008A27B7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u w:val="single"/>
                <w:lang w:eastAsia="fr-FR"/>
              </w:rPr>
              <w:t>+</w:t>
            </w:r>
            <w:r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lang w:eastAsia="fr-FR"/>
              </w:rPr>
              <w:t xml:space="preserve"> 9.</w:t>
            </w:r>
            <w:r w:rsidRPr="008A27B7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989" w:type="dxa"/>
            <w:shd w:val="clear" w:color="auto" w:fill="auto"/>
            <w:hideMark/>
          </w:tcPr>
          <w:p w14:paraId="2F73EEE0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044</w:t>
            </w:r>
          </w:p>
        </w:tc>
      </w:tr>
      <w:tr w:rsidR="00AE7D83" w:rsidRPr="008A27B7" w14:paraId="53227E12" w14:textId="77777777" w:rsidTr="00A23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964AE98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Sex</w:t>
            </w:r>
            <w:proofErr w:type="spellEnd"/>
          </w:p>
        </w:tc>
        <w:tc>
          <w:tcPr>
            <w:tcW w:w="2830" w:type="dxa"/>
            <w:hideMark/>
          </w:tcPr>
          <w:p w14:paraId="368AC7B3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ale : 86 (53.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75%)</w:t>
            </w:r>
          </w:p>
          <w:p w14:paraId="051BE6A3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F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emale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: 74 (46.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25%)</w:t>
            </w:r>
          </w:p>
        </w:tc>
        <w:tc>
          <w:tcPr>
            <w:tcW w:w="2982" w:type="dxa"/>
            <w:hideMark/>
          </w:tcPr>
          <w:p w14:paraId="1A6BAF11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ale : 18 (38.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29%)</w:t>
            </w:r>
          </w:p>
          <w:p w14:paraId="3027ED54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F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emale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: 29 (61.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70%)</w:t>
            </w:r>
          </w:p>
        </w:tc>
        <w:tc>
          <w:tcPr>
            <w:tcW w:w="989" w:type="dxa"/>
            <w:hideMark/>
          </w:tcPr>
          <w:p w14:paraId="06C8744E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045</w:t>
            </w:r>
          </w:p>
        </w:tc>
      </w:tr>
      <w:tr w:rsidR="00AE7D83" w:rsidRPr="008A27B7" w14:paraId="65EC4313" w14:textId="77777777" w:rsidTr="00A23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hideMark/>
          </w:tcPr>
          <w:p w14:paraId="6D4B590B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 xml:space="preserve">Scholar </w:t>
            </w:r>
            <w:proofErr w:type="spellStart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level</w:t>
            </w:r>
            <w:proofErr w:type="spellEnd"/>
          </w:p>
        </w:tc>
        <w:tc>
          <w:tcPr>
            <w:tcW w:w="2830" w:type="dxa"/>
            <w:shd w:val="clear" w:color="auto" w:fill="auto"/>
            <w:hideMark/>
          </w:tcPr>
          <w:p w14:paraId="7EA3F966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Illet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rate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-Prim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ary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: 116 (72.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5%)</w:t>
            </w:r>
          </w:p>
          <w:p w14:paraId="73A3A860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Sec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ondary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-Univ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ersity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: 44 (27.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5%)</w:t>
            </w:r>
          </w:p>
        </w:tc>
        <w:tc>
          <w:tcPr>
            <w:tcW w:w="2982" w:type="dxa"/>
            <w:shd w:val="clear" w:color="auto" w:fill="auto"/>
            <w:hideMark/>
          </w:tcPr>
          <w:p w14:paraId="687F617C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Illet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rate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-Prim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ary</w:t>
            </w:r>
            <w:proofErr w:type="spellEnd"/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: 43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(91.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5%)</w:t>
            </w:r>
          </w:p>
          <w:p w14:paraId="79CBC090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Sec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ondary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-Univ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ersity</w:t>
            </w:r>
            <w:proofErr w:type="spellEnd"/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: 4</w:t>
            </w: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(8.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5%)</w:t>
            </w:r>
          </w:p>
        </w:tc>
        <w:tc>
          <w:tcPr>
            <w:tcW w:w="989" w:type="dxa"/>
            <w:shd w:val="clear" w:color="auto" w:fill="auto"/>
            <w:hideMark/>
          </w:tcPr>
          <w:p w14:paraId="18A75172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008</w:t>
            </w:r>
          </w:p>
        </w:tc>
      </w:tr>
      <w:tr w:rsidR="00AE7D83" w:rsidRPr="008A27B7" w14:paraId="7BE3489D" w14:textId="77777777" w:rsidTr="00A238A0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3D626BD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BMI (kg/m2)</w:t>
            </w:r>
          </w:p>
        </w:tc>
        <w:tc>
          <w:tcPr>
            <w:tcW w:w="2830" w:type="dxa"/>
            <w:hideMark/>
          </w:tcPr>
          <w:p w14:paraId="3998FDA6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29.87 +/- 5.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32</w:t>
            </w:r>
          </w:p>
        </w:tc>
        <w:tc>
          <w:tcPr>
            <w:tcW w:w="2982" w:type="dxa"/>
          </w:tcPr>
          <w:p w14:paraId="3D478CBE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31.85 ±6.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098</w:t>
            </w:r>
          </w:p>
        </w:tc>
        <w:tc>
          <w:tcPr>
            <w:tcW w:w="989" w:type="dxa"/>
            <w:hideMark/>
          </w:tcPr>
          <w:p w14:paraId="7CEF1AC7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031</w:t>
            </w:r>
          </w:p>
        </w:tc>
      </w:tr>
      <w:tr w:rsidR="00AE7D83" w:rsidRPr="008A27B7" w14:paraId="1B25E6D0" w14:textId="77777777" w:rsidTr="00A23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hideMark/>
          </w:tcPr>
          <w:p w14:paraId="5965A6D8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Waist</w:t>
            </w:r>
            <w:proofErr w:type="spellEnd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circumferance</w:t>
            </w:r>
            <w:proofErr w:type="spellEnd"/>
          </w:p>
        </w:tc>
        <w:tc>
          <w:tcPr>
            <w:tcW w:w="2830" w:type="dxa"/>
            <w:shd w:val="clear" w:color="auto" w:fill="auto"/>
            <w:hideMark/>
          </w:tcPr>
          <w:p w14:paraId="2BBE9765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Normal : 55 (35.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94%)</w:t>
            </w:r>
          </w:p>
          <w:p w14:paraId="49C2B8E2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Elevated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: 98(64.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05%)</w:t>
            </w:r>
          </w:p>
        </w:tc>
        <w:tc>
          <w:tcPr>
            <w:tcW w:w="2982" w:type="dxa"/>
            <w:shd w:val="clear" w:color="auto" w:fill="auto"/>
            <w:hideMark/>
          </w:tcPr>
          <w:p w14:paraId="4E3BA2F9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Normal : 8 (17.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02%)</w:t>
            </w:r>
          </w:p>
          <w:p w14:paraId="60E8015F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Elevated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:</w:t>
            </w:r>
            <w:proofErr w:type="gram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36 (76.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59%)</w:t>
            </w:r>
          </w:p>
        </w:tc>
        <w:tc>
          <w:tcPr>
            <w:tcW w:w="989" w:type="dxa"/>
            <w:shd w:val="clear" w:color="auto" w:fill="auto"/>
            <w:hideMark/>
          </w:tcPr>
          <w:p w14:paraId="3F898E53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018</w:t>
            </w:r>
          </w:p>
        </w:tc>
      </w:tr>
      <w:tr w:rsidR="00AE7D83" w:rsidRPr="008A27B7" w14:paraId="1FDA961C" w14:textId="77777777" w:rsidTr="00A23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814792E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Diabetes</w:t>
            </w:r>
            <w:proofErr w:type="spellEnd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 xml:space="preserve"> duration (</w:t>
            </w:r>
            <w:proofErr w:type="spellStart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years</w:t>
            </w:r>
            <w:proofErr w:type="spellEnd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6479955A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8.45 +/- 6.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46</w:t>
            </w:r>
          </w:p>
        </w:tc>
        <w:tc>
          <w:tcPr>
            <w:tcW w:w="2982" w:type="dxa"/>
          </w:tcPr>
          <w:p w14:paraId="27638E04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11.96 ±7.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19</w:t>
            </w:r>
          </w:p>
        </w:tc>
        <w:tc>
          <w:tcPr>
            <w:tcW w:w="989" w:type="dxa"/>
          </w:tcPr>
          <w:p w14:paraId="314BEDA5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  <w:p w14:paraId="48E8A3A4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002</w:t>
            </w:r>
          </w:p>
        </w:tc>
      </w:tr>
      <w:tr w:rsidR="00AE7D83" w:rsidRPr="008A27B7" w14:paraId="476D8ABE" w14:textId="77777777" w:rsidTr="00A23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hideMark/>
          </w:tcPr>
          <w:p w14:paraId="1FBD673F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Retinopathy</w:t>
            </w:r>
            <w:proofErr w:type="spellEnd"/>
          </w:p>
        </w:tc>
        <w:tc>
          <w:tcPr>
            <w:tcW w:w="2830" w:type="dxa"/>
            <w:shd w:val="clear" w:color="auto" w:fill="auto"/>
            <w:hideMark/>
          </w:tcPr>
          <w:p w14:paraId="402EA2C5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Present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43 (31.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38%)</w:t>
            </w:r>
          </w:p>
          <w:p w14:paraId="582732F6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Absent 94 (68.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61%)</w:t>
            </w:r>
          </w:p>
        </w:tc>
        <w:tc>
          <w:tcPr>
            <w:tcW w:w="2982" w:type="dxa"/>
            <w:shd w:val="clear" w:color="auto" w:fill="auto"/>
            <w:hideMark/>
          </w:tcPr>
          <w:p w14:paraId="72DAE793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Present 26 (57.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5%)</w:t>
            </w:r>
          </w:p>
          <w:p w14:paraId="52F2D4EF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Absent 20(42.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  <w:lang w:val="en-US"/>
              </w:rPr>
              <w:t>55%)</w:t>
            </w:r>
          </w:p>
        </w:tc>
        <w:tc>
          <w:tcPr>
            <w:tcW w:w="989" w:type="dxa"/>
            <w:shd w:val="clear" w:color="auto" w:fill="auto"/>
            <w:hideMark/>
          </w:tcPr>
          <w:p w14:paraId="48DFA945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002</w:t>
            </w:r>
          </w:p>
        </w:tc>
      </w:tr>
      <w:tr w:rsidR="00AE7D83" w:rsidRPr="008A27B7" w14:paraId="73106BE4" w14:textId="77777777" w:rsidTr="00A238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0706A39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A27B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  <w:t>Hyperkeratosis</w:t>
            </w:r>
            <w:proofErr w:type="spellEnd"/>
          </w:p>
        </w:tc>
        <w:tc>
          <w:tcPr>
            <w:tcW w:w="2830" w:type="dxa"/>
            <w:hideMark/>
          </w:tcPr>
          <w:p w14:paraId="03A7E653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Present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47 (29.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37%)</w:t>
            </w:r>
          </w:p>
          <w:p w14:paraId="5B3BBAEB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Absent 113 (70.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62%)</w:t>
            </w:r>
          </w:p>
        </w:tc>
        <w:tc>
          <w:tcPr>
            <w:tcW w:w="2982" w:type="dxa"/>
            <w:hideMark/>
          </w:tcPr>
          <w:p w14:paraId="1D7EAF20" w14:textId="77777777" w:rsidR="00AE7D83" w:rsidRPr="008A27B7" w:rsidRDefault="00AE7D83" w:rsidP="00A238A0">
            <w:pPr>
              <w:tabs>
                <w:tab w:val="left" w:pos="202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Present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25 (53.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19%)</w:t>
            </w:r>
          </w:p>
          <w:p w14:paraId="20112BBA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Absent 22 (46.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80%)</w:t>
            </w:r>
          </w:p>
        </w:tc>
        <w:tc>
          <w:tcPr>
            <w:tcW w:w="989" w:type="dxa"/>
            <w:hideMark/>
          </w:tcPr>
          <w:p w14:paraId="4DC754E3" w14:textId="77777777" w:rsidR="00AE7D83" w:rsidRPr="008A27B7" w:rsidRDefault="00AE7D83" w:rsidP="00A238A0">
            <w:pPr>
              <w:pStyle w:val="ListParagraph"/>
              <w:tabs>
                <w:tab w:val="left" w:pos="2025"/>
              </w:tabs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</w:t>
            </w:r>
            <w:r w:rsidRPr="008A27B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003</w:t>
            </w:r>
          </w:p>
        </w:tc>
      </w:tr>
    </w:tbl>
    <w:p w14:paraId="58080B74" w14:textId="77777777" w:rsidR="00AE7D83" w:rsidRPr="00B27837" w:rsidRDefault="00AE7D83" w:rsidP="00AE7D83">
      <w:pPr>
        <w:spacing w:line="240" w:lineRule="auto"/>
        <w:rPr>
          <w:rFonts w:asciiTheme="majorBidi" w:hAnsiTheme="majorBidi" w:cstheme="majorBidi"/>
          <w:i/>
          <w:iCs/>
          <w:sz w:val="24"/>
          <w:szCs w:val="24"/>
          <w:lang w:val="en"/>
        </w:rPr>
      </w:pPr>
      <w:r w:rsidRPr="00B27837">
        <w:rPr>
          <w:rFonts w:asciiTheme="majorBidi" w:hAnsiTheme="majorBidi" w:cstheme="majorBidi"/>
          <w:i/>
          <w:iCs/>
          <w:sz w:val="24"/>
          <w:szCs w:val="24"/>
          <w:lang w:val="en"/>
        </w:rPr>
        <w:t xml:space="preserve">a: In this table are reported only </w:t>
      </w:r>
      <w:r w:rsidRPr="00B27837">
        <w:rPr>
          <w:rFonts w:asciiTheme="majorBidi" w:hAnsiTheme="majorBidi" w:cstheme="majorBidi"/>
          <w:i/>
          <w:iCs/>
          <w:sz w:val="24"/>
          <w:szCs w:val="24"/>
          <w:lang w:val="en-US"/>
        </w:rPr>
        <w:t>significant associated factors in univariate analysis</w:t>
      </w:r>
    </w:p>
    <w:p w14:paraId="47AC4445" w14:textId="77777777" w:rsidR="00AE7D83" w:rsidRPr="00B27837" w:rsidRDefault="00AE7D83" w:rsidP="00AE7D83">
      <w:pPr>
        <w:spacing w:line="240" w:lineRule="auto"/>
        <w:rPr>
          <w:rFonts w:asciiTheme="majorBidi" w:hAnsiTheme="majorBidi" w:cstheme="majorBidi"/>
          <w:i/>
          <w:iCs/>
          <w:sz w:val="24"/>
          <w:szCs w:val="24"/>
          <w:lang w:val="en"/>
        </w:rPr>
      </w:pPr>
      <w:r w:rsidRPr="00B27837">
        <w:rPr>
          <w:rFonts w:asciiTheme="majorBidi" w:hAnsiTheme="majorBidi" w:cstheme="majorBidi"/>
          <w:i/>
          <w:iCs/>
          <w:sz w:val="24"/>
          <w:szCs w:val="24"/>
          <w:lang w:val="en"/>
        </w:rPr>
        <w:t>p &lt; 0.05 is considered to be statistically significant</w:t>
      </w:r>
    </w:p>
    <w:p w14:paraId="36C3F0D2" w14:textId="77777777" w:rsidR="00AE7D83" w:rsidRDefault="00AE7D83" w:rsidP="00AE7D83">
      <w:pPr>
        <w:spacing w:line="360" w:lineRule="auto"/>
        <w:rPr>
          <w:rFonts w:asciiTheme="majorBidi" w:hAnsiTheme="majorBidi" w:cstheme="majorBidi"/>
          <w:sz w:val="24"/>
          <w:szCs w:val="24"/>
          <w:lang w:val="en"/>
        </w:rPr>
      </w:pPr>
    </w:p>
    <w:p w14:paraId="4E2F1802" w14:textId="77777777" w:rsidR="00AE7D83" w:rsidRDefault="00AE7D83" w:rsidP="00AE7D83">
      <w:pPr>
        <w:pStyle w:val="Default"/>
        <w:spacing w:line="360" w:lineRule="auto"/>
        <w:rPr>
          <w:rFonts w:asciiTheme="majorBidi" w:hAnsiTheme="majorBidi" w:cstheme="majorBidi"/>
          <w:lang w:val="en-US"/>
        </w:rPr>
      </w:pPr>
      <w:bookmarkStart w:id="0" w:name="_GoBack"/>
      <w:bookmarkEnd w:id="0"/>
    </w:p>
    <w:p w14:paraId="7FB8F245" w14:textId="77777777" w:rsidR="00AE7D83" w:rsidRDefault="00AE7D83" w:rsidP="00AE7D8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5333055" w14:textId="77777777" w:rsidR="00AE7D83" w:rsidRDefault="00AE7D83" w:rsidP="00AE7D8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7D2230A" w14:textId="77777777" w:rsidR="00AE7D83" w:rsidRDefault="00AE7D83" w:rsidP="00AE7D8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39721B4" w14:textId="77777777" w:rsidR="00AE7D83" w:rsidRDefault="00AE7D83" w:rsidP="00AE7D8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7F4E5E2" w14:textId="77777777" w:rsidR="00AE7D83" w:rsidRDefault="00AE7D83" w:rsidP="00AE7D8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923F3BB" w14:textId="77777777" w:rsidR="00AE7D83" w:rsidRDefault="00AE7D83" w:rsidP="00AE7D8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34A249B" w14:textId="77777777" w:rsidR="00AE7D83" w:rsidRPr="00BC74EC" w:rsidRDefault="00AE7D83" w:rsidP="00AE7D83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Table 2</w:t>
      </w:r>
      <w:r w:rsidRPr="000E3FE0">
        <w:rPr>
          <w:rFonts w:asciiTheme="majorBidi" w:hAnsiTheme="majorBidi" w:cstheme="majorBidi"/>
          <w:sz w:val="24"/>
          <w:szCs w:val="24"/>
          <w:lang w:val="en-US"/>
        </w:rPr>
        <w:t>: Prevalence of risk categories according to the IWGDF Risk Classification system in different studies</w:t>
      </w:r>
    </w:p>
    <w:tbl>
      <w:tblPr>
        <w:tblStyle w:val="ListTable6Colorful-Accent3"/>
        <w:tblW w:w="0" w:type="auto"/>
        <w:tblLook w:val="04A0" w:firstRow="1" w:lastRow="0" w:firstColumn="1" w:lastColumn="0" w:noHBand="0" w:noVBand="1"/>
      </w:tblPr>
      <w:tblGrid>
        <w:gridCol w:w="1701"/>
        <w:gridCol w:w="2127"/>
        <w:gridCol w:w="1275"/>
        <w:gridCol w:w="1418"/>
        <w:gridCol w:w="1276"/>
        <w:gridCol w:w="1275"/>
      </w:tblGrid>
      <w:tr w:rsidR="00AE7D83" w:rsidRPr="000E3FE0" w14:paraId="5E1FCDE6" w14:textId="77777777" w:rsidTr="00A23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E6AEF5A" w14:textId="77777777" w:rsidR="00AE7D83" w:rsidRPr="000E3FE0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Author [reference]</w:t>
            </w:r>
          </w:p>
          <w:p w14:paraId="776D2D81" w14:textId="77777777" w:rsidR="00AE7D83" w:rsidRPr="000E3FE0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Country/year</w:t>
            </w:r>
          </w:p>
        </w:tc>
        <w:tc>
          <w:tcPr>
            <w:tcW w:w="2127" w:type="dxa"/>
          </w:tcPr>
          <w:p w14:paraId="3277AE97" w14:textId="77777777" w:rsidR="00AE7D83" w:rsidRPr="000E3FE0" w:rsidRDefault="00AE7D83" w:rsidP="00A238A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 xml:space="preserve">Way of </w:t>
            </w:r>
            <w:proofErr w:type="spellStart"/>
            <w:r w:rsidRPr="000E3FE0">
              <w:rPr>
                <w:rFonts w:asciiTheme="majorBidi" w:hAnsiTheme="majorBidi" w:cstheme="majorBidi"/>
                <w:lang w:val="en"/>
              </w:rPr>
              <w:t>recrutement</w:t>
            </w:r>
            <w:proofErr w:type="spellEnd"/>
            <w:r w:rsidRPr="000E3FE0">
              <w:rPr>
                <w:rFonts w:asciiTheme="majorBidi" w:hAnsiTheme="majorBidi" w:cstheme="majorBidi"/>
                <w:lang w:val="en"/>
              </w:rPr>
              <w:t xml:space="preserve"> (number)</w:t>
            </w:r>
          </w:p>
        </w:tc>
        <w:tc>
          <w:tcPr>
            <w:tcW w:w="1275" w:type="dxa"/>
          </w:tcPr>
          <w:p w14:paraId="3471B318" w14:textId="77777777" w:rsidR="00AE7D83" w:rsidRPr="000E3FE0" w:rsidRDefault="00AE7D83" w:rsidP="00A238A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Group 0</w:t>
            </w:r>
          </w:p>
          <w:p w14:paraId="08F06A33" w14:textId="77777777" w:rsidR="00AE7D83" w:rsidRPr="000E3FE0" w:rsidRDefault="00AE7D83" w:rsidP="00A238A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%</w:t>
            </w:r>
          </w:p>
        </w:tc>
        <w:tc>
          <w:tcPr>
            <w:tcW w:w="1418" w:type="dxa"/>
          </w:tcPr>
          <w:p w14:paraId="0A26EF23" w14:textId="77777777" w:rsidR="00AE7D83" w:rsidRPr="000E3FE0" w:rsidRDefault="00AE7D83" w:rsidP="00A238A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Group 1</w:t>
            </w:r>
          </w:p>
          <w:p w14:paraId="12B0C591" w14:textId="77777777" w:rsidR="00AE7D83" w:rsidRPr="000E3FE0" w:rsidRDefault="00AE7D83" w:rsidP="00A238A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%</w:t>
            </w:r>
          </w:p>
        </w:tc>
        <w:tc>
          <w:tcPr>
            <w:tcW w:w="1276" w:type="dxa"/>
          </w:tcPr>
          <w:p w14:paraId="229819D4" w14:textId="77777777" w:rsidR="00AE7D83" w:rsidRPr="000E3FE0" w:rsidRDefault="00AE7D83" w:rsidP="00A238A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Group 2</w:t>
            </w:r>
          </w:p>
          <w:p w14:paraId="40239ECD" w14:textId="77777777" w:rsidR="00AE7D83" w:rsidRPr="000E3FE0" w:rsidRDefault="00AE7D83" w:rsidP="00A238A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%</w:t>
            </w:r>
          </w:p>
        </w:tc>
        <w:tc>
          <w:tcPr>
            <w:tcW w:w="1275" w:type="dxa"/>
          </w:tcPr>
          <w:p w14:paraId="318FEE92" w14:textId="77777777" w:rsidR="00AE7D83" w:rsidRPr="000E3FE0" w:rsidRDefault="00AE7D83" w:rsidP="00A238A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Group 3</w:t>
            </w:r>
          </w:p>
          <w:p w14:paraId="79C0378B" w14:textId="77777777" w:rsidR="00AE7D83" w:rsidRPr="000E3FE0" w:rsidRDefault="00AE7D83" w:rsidP="00A238A0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%</w:t>
            </w:r>
          </w:p>
        </w:tc>
      </w:tr>
      <w:tr w:rsidR="00AE7D83" w:rsidRPr="000E3FE0" w14:paraId="5BE08DC6" w14:textId="77777777" w:rsidTr="00A23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52ADAE2" w14:textId="77777777" w:rsidR="00AE7D83" w:rsidRPr="000C1B6A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proofErr w:type="spellStart"/>
            <w:r>
              <w:rPr>
                <w:rFonts w:asciiTheme="majorBidi" w:hAnsiTheme="majorBidi" w:cstheme="majorBidi"/>
                <w:b w:val="0"/>
                <w:bCs w:val="0"/>
                <w:lang w:val="en"/>
              </w:rPr>
              <w:t>Malgrange</w:t>
            </w:r>
            <w:proofErr w:type="spellEnd"/>
            <w:r>
              <w:rPr>
                <w:rFonts w:asciiTheme="majorBidi" w:hAnsiTheme="majorBidi" w:cstheme="majorBidi"/>
                <w:b w:val="0"/>
                <w:bCs w:val="0"/>
                <w:lang w:val="en"/>
              </w:rPr>
              <w:t xml:space="preserve"> [16</w:t>
            </w:r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]</w:t>
            </w:r>
          </w:p>
          <w:p w14:paraId="581BB9E9" w14:textId="77777777" w:rsidR="00AE7D83" w:rsidRPr="000C1B6A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France/2003</w:t>
            </w:r>
          </w:p>
        </w:tc>
        <w:tc>
          <w:tcPr>
            <w:tcW w:w="2127" w:type="dxa"/>
            <w:shd w:val="clear" w:color="auto" w:fill="auto"/>
          </w:tcPr>
          <w:p w14:paraId="3AB8071F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In and outpatients (n=555)</w:t>
            </w:r>
          </w:p>
        </w:tc>
        <w:tc>
          <w:tcPr>
            <w:tcW w:w="1275" w:type="dxa"/>
            <w:shd w:val="clear" w:color="auto" w:fill="auto"/>
          </w:tcPr>
          <w:p w14:paraId="40F6042F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72.7</w:t>
            </w:r>
          </w:p>
        </w:tc>
        <w:tc>
          <w:tcPr>
            <w:tcW w:w="1418" w:type="dxa"/>
            <w:shd w:val="clear" w:color="auto" w:fill="auto"/>
          </w:tcPr>
          <w:p w14:paraId="390B4356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9.7</w:t>
            </w:r>
          </w:p>
        </w:tc>
        <w:tc>
          <w:tcPr>
            <w:tcW w:w="1276" w:type="dxa"/>
            <w:shd w:val="clear" w:color="auto" w:fill="auto"/>
          </w:tcPr>
          <w:p w14:paraId="0022FFEE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9.8</w:t>
            </w:r>
          </w:p>
        </w:tc>
        <w:tc>
          <w:tcPr>
            <w:tcW w:w="1275" w:type="dxa"/>
            <w:shd w:val="clear" w:color="auto" w:fill="auto"/>
          </w:tcPr>
          <w:p w14:paraId="59C0FE17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7.7</w:t>
            </w:r>
          </w:p>
        </w:tc>
      </w:tr>
      <w:tr w:rsidR="00AE7D83" w:rsidRPr="000E3FE0" w14:paraId="2FA20AED" w14:textId="77777777" w:rsidTr="00A238A0">
        <w:trPr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0ABCFDA" w14:textId="77777777" w:rsidR="00AE7D83" w:rsidRPr="000C1B6A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proofErr w:type="spellStart"/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Mugambi</w:t>
            </w:r>
            <w:proofErr w:type="spellEnd"/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 xml:space="preserve"> [8]</w:t>
            </w:r>
          </w:p>
          <w:p w14:paraId="6A51BFC0" w14:textId="77777777" w:rsidR="00AE7D83" w:rsidRPr="000C1B6A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Kenya/2009</w:t>
            </w:r>
          </w:p>
        </w:tc>
        <w:tc>
          <w:tcPr>
            <w:tcW w:w="2127" w:type="dxa"/>
          </w:tcPr>
          <w:p w14:paraId="5D36159F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Outpatients (n=218)</w:t>
            </w:r>
          </w:p>
        </w:tc>
        <w:tc>
          <w:tcPr>
            <w:tcW w:w="1275" w:type="dxa"/>
          </w:tcPr>
          <w:p w14:paraId="7EE84BAD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57</w:t>
            </w:r>
          </w:p>
        </w:tc>
        <w:tc>
          <w:tcPr>
            <w:tcW w:w="1418" w:type="dxa"/>
          </w:tcPr>
          <w:p w14:paraId="30AC20AA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10</w:t>
            </w:r>
          </w:p>
        </w:tc>
        <w:tc>
          <w:tcPr>
            <w:tcW w:w="1276" w:type="dxa"/>
          </w:tcPr>
          <w:p w14:paraId="566DD420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16</w:t>
            </w:r>
          </w:p>
        </w:tc>
        <w:tc>
          <w:tcPr>
            <w:tcW w:w="1275" w:type="dxa"/>
          </w:tcPr>
          <w:p w14:paraId="4E6FBC92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17</w:t>
            </w:r>
          </w:p>
        </w:tc>
      </w:tr>
      <w:tr w:rsidR="00AE7D83" w:rsidRPr="000E3FE0" w14:paraId="163FF5AE" w14:textId="77777777" w:rsidTr="00A23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689F06C" w14:textId="77777777" w:rsidR="00AE7D83" w:rsidRPr="000C1B6A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proofErr w:type="spellStart"/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Shahbazian</w:t>
            </w:r>
            <w:proofErr w:type="spellEnd"/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 xml:space="preserve"> [1</w:t>
            </w:r>
            <w:r>
              <w:rPr>
                <w:rFonts w:asciiTheme="majorBidi" w:hAnsiTheme="majorBidi" w:cstheme="majorBidi"/>
                <w:b w:val="0"/>
                <w:bCs w:val="0"/>
                <w:lang w:val="en"/>
              </w:rPr>
              <w:t>8</w:t>
            </w:r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]</w:t>
            </w:r>
          </w:p>
          <w:p w14:paraId="24D966A2" w14:textId="77777777" w:rsidR="00AE7D83" w:rsidRPr="000C1B6A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Iran/2013</w:t>
            </w:r>
          </w:p>
        </w:tc>
        <w:tc>
          <w:tcPr>
            <w:tcW w:w="2127" w:type="dxa"/>
            <w:shd w:val="clear" w:color="auto" w:fill="auto"/>
          </w:tcPr>
          <w:p w14:paraId="43431105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In and outpatients (n=430)</w:t>
            </w:r>
          </w:p>
        </w:tc>
        <w:tc>
          <w:tcPr>
            <w:tcW w:w="1275" w:type="dxa"/>
            <w:shd w:val="clear" w:color="auto" w:fill="auto"/>
          </w:tcPr>
          <w:p w14:paraId="7EF0C12F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65</w:t>
            </w:r>
          </w:p>
        </w:tc>
        <w:tc>
          <w:tcPr>
            <w:tcW w:w="1418" w:type="dxa"/>
            <w:shd w:val="clear" w:color="auto" w:fill="auto"/>
          </w:tcPr>
          <w:p w14:paraId="75301624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50CE5CD6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14:paraId="17CC5E07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7</w:t>
            </w:r>
          </w:p>
        </w:tc>
      </w:tr>
      <w:tr w:rsidR="00AE7D83" w:rsidRPr="000E3FE0" w14:paraId="454D8C7A" w14:textId="77777777" w:rsidTr="00A238A0">
        <w:trPr>
          <w:trHeight w:val="1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EC0E476" w14:textId="77777777" w:rsidR="00AE7D83" w:rsidRPr="000C1B6A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Vibha [2</w:t>
            </w:r>
            <w:r>
              <w:rPr>
                <w:rFonts w:asciiTheme="majorBidi" w:hAnsiTheme="majorBidi" w:cstheme="majorBidi"/>
                <w:b w:val="0"/>
                <w:bCs w:val="0"/>
                <w:lang w:val="en"/>
              </w:rPr>
              <w:t>1</w:t>
            </w:r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]</w:t>
            </w:r>
          </w:p>
          <w:p w14:paraId="39094AF3" w14:textId="77777777" w:rsidR="00AE7D83" w:rsidRPr="000C1B6A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India/2018</w:t>
            </w:r>
          </w:p>
        </w:tc>
        <w:tc>
          <w:tcPr>
            <w:tcW w:w="2127" w:type="dxa"/>
          </w:tcPr>
          <w:p w14:paraId="348D1C14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Community based, home visit</w:t>
            </w:r>
          </w:p>
          <w:p w14:paraId="247AEFE7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(n=620)</w:t>
            </w:r>
          </w:p>
        </w:tc>
        <w:tc>
          <w:tcPr>
            <w:tcW w:w="1275" w:type="dxa"/>
          </w:tcPr>
          <w:p w14:paraId="1B523315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48.2</w:t>
            </w:r>
          </w:p>
        </w:tc>
        <w:tc>
          <w:tcPr>
            <w:tcW w:w="1418" w:type="dxa"/>
          </w:tcPr>
          <w:p w14:paraId="3B7E6F04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31.4</w:t>
            </w:r>
          </w:p>
        </w:tc>
        <w:tc>
          <w:tcPr>
            <w:tcW w:w="1276" w:type="dxa"/>
          </w:tcPr>
          <w:p w14:paraId="7C75C3BE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11.9</w:t>
            </w:r>
          </w:p>
        </w:tc>
        <w:tc>
          <w:tcPr>
            <w:tcW w:w="1275" w:type="dxa"/>
          </w:tcPr>
          <w:p w14:paraId="4CE34151" w14:textId="77777777" w:rsidR="00AE7D83" w:rsidRPr="000E3FE0" w:rsidRDefault="00AE7D83" w:rsidP="00A238A0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8.5</w:t>
            </w:r>
          </w:p>
        </w:tc>
      </w:tr>
      <w:tr w:rsidR="00AE7D83" w:rsidRPr="000E3FE0" w14:paraId="356DD22C" w14:textId="77777777" w:rsidTr="00A238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B130C2C" w14:textId="77777777" w:rsidR="00AE7D83" w:rsidRPr="000C1B6A" w:rsidRDefault="00AE7D83" w:rsidP="00A238A0">
            <w:pPr>
              <w:pStyle w:val="Default"/>
              <w:jc w:val="center"/>
              <w:rPr>
                <w:rFonts w:asciiTheme="majorBidi" w:hAnsiTheme="majorBidi" w:cstheme="majorBidi"/>
                <w:b w:val="0"/>
                <w:bCs w:val="0"/>
                <w:lang w:val="en"/>
              </w:rPr>
            </w:pPr>
            <w:r w:rsidRPr="000C1B6A">
              <w:rPr>
                <w:rFonts w:asciiTheme="majorBidi" w:hAnsiTheme="majorBidi" w:cstheme="majorBidi"/>
                <w:b w:val="0"/>
                <w:bCs w:val="0"/>
                <w:lang w:val="en"/>
              </w:rPr>
              <w:t>Our series</w:t>
            </w:r>
          </w:p>
        </w:tc>
        <w:tc>
          <w:tcPr>
            <w:tcW w:w="2127" w:type="dxa"/>
            <w:shd w:val="clear" w:color="auto" w:fill="auto"/>
          </w:tcPr>
          <w:p w14:paraId="34C6C462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Outpatients</w:t>
            </w:r>
          </w:p>
          <w:p w14:paraId="4868B99E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(n=220)</w:t>
            </w:r>
          </w:p>
        </w:tc>
        <w:tc>
          <w:tcPr>
            <w:tcW w:w="1275" w:type="dxa"/>
            <w:shd w:val="clear" w:color="auto" w:fill="auto"/>
          </w:tcPr>
          <w:p w14:paraId="74A5D051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72.72</w:t>
            </w:r>
          </w:p>
        </w:tc>
        <w:tc>
          <w:tcPr>
            <w:tcW w:w="1418" w:type="dxa"/>
            <w:shd w:val="clear" w:color="auto" w:fill="auto"/>
          </w:tcPr>
          <w:p w14:paraId="18359F2D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5.9</w:t>
            </w:r>
          </w:p>
        </w:tc>
        <w:tc>
          <w:tcPr>
            <w:tcW w:w="1276" w:type="dxa"/>
            <w:shd w:val="clear" w:color="auto" w:fill="auto"/>
          </w:tcPr>
          <w:p w14:paraId="5C283C9D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17.73</w:t>
            </w:r>
          </w:p>
        </w:tc>
        <w:tc>
          <w:tcPr>
            <w:tcW w:w="1275" w:type="dxa"/>
            <w:shd w:val="clear" w:color="auto" w:fill="auto"/>
          </w:tcPr>
          <w:p w14:paraId="0EAA46E1" w14:textId="77777777" w:rsidR="00AE7D83" w:rsidRPr="000E3FE0" w:rsidRDefault="00AE7D83" w:rsidP="00A238A0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0E3FE0">
              <w:rPr>
                <w:rFonts w:asciiTheme="majorBidi" w:hAnsiTheme="majorBidi" w:cstheme="majorBidi"/>
                <w:lang w:val="en"/>
              </w:rPr>
              <w:t>3.63</w:t>
            </w:r>
          </w:p>
        </w:tc>
      </w:tr>
    </w:tbl>
    <w:p w14:paraId="5124B0CF" w14:textId="77777777" w:rsidR="00AE7D83" w:rsidRPr="003F46EF" w:rsidRDefault="00AE7D83" w:rsidP="00AE7D83">
      <w:pPr>
        <w:pStyle w:val="Default"/>
        <w:spacing w:line="360" w:lineRule="auto"/>
        <w:rPr>
          <w:rFonts w:asciiTheme="majorBidi" w:hAnsiTheme="majorBidi" w:cstheme="majorBidi"/>
          <w:lang w:val="en"/>
        </w:rPr>
      </w:pPr>
    </w:p>
    <w:p w14:paraId="55F21B1C" w14:textId="77777777" w:rsidR="00AE7D83" w:rsidRDefault="00AE7D83"/>
    <w:sectPr w:rsidR="00AE7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83"/>
    <w:rsid w:val="00A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C123"/>
  <w15:chartTrackingRefBased/>
  <w15:docId w15:val="{FCF3333D-BD63-40CD-9B3D-EB1EDAF1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83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7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AE7D83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shorttext">
    <w:name w:val="short_text"/>
    <w:basedOn w:val="DefaultParagraphFont"/>
    <w:rsid w:val="00AE7D83"/>
  </w:style>
  <w:style w:type="table" w:styleId="ListTable6Colorful-Accent3">
    <w:name w:val="List Table 6 Colorful Accent 3"/>
    <w:basedOn w:val="TableNormal"/>
    <w:uiPriority w:val="51"/>
    <w:rsid w:val="00AE7D83"/>
    <w:pPr>
      <w:spacing w:after="0" w:line="240" w:lineRule="auto"/>
    </w:pPr>
    <w:rPr>
      <w:color w:val="7B7B7B" w:themeColor="accent3" w:themeShade="BF"/>
      <w:lang w:val="fr-FR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Brewin</dc:creator>
  <cp:keywords/>
  <dc:description/>
  <cp:lastModifiedBy>Mark Brewin</cp:lastModifiedBy>
  <cp:revision>1</cp:revision>
  <dcterms:created xsi:type="dcterms:W3CDTF">2020-03-16T11:13:00Z</dcterms:created>
  <dcterms:modified xsi:type="dcterms:W3CDTF">2020-03-16T11:13:00Z</dcterms:modified>
</cp:coreProperties>
</file>